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Sassofeltrio</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Pesaro e Urbino</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